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8445C" w:rsidRDefault="00C8445C">
      <w:pPr>
        <w:spacing w:line="480" w:lineRule="auto"/>
        <w:jc w:val="center"/>
        <w:rPr>
          <w:rFonts w:ascii="Times New Roman" w:hAnsi="Times New Roman" w:cs="Times New Roman"/>
          <w:sz w:val="24"/>
          <w:szCs w:val="24"/>
        </w:rPr>
      </w:pPr>
    </w:p>
    <w:p w:rsidR="00C8445C" w:rsidRDefault="00C8445C">
      <w:pPr>
        <w:spacing w:line="480" w:lineRule="auto"/>
        <w:jc w:val="center"/>
        <w:rPr>
          <w:rFonts w:ascii="Times New Roman" w:hAnsi="Times New Roman" w:cs="Times New Roman"/>
          <w:sz w:val="24"/>
          <w:szCs w:val="24"/>
        </w:rPr>
      </w:pPr>
    </w:p>
    <w:p w:rsidR="00C8445C" w:rsidRDefault="00C8445C">
      <w:pPr>
        <w:spacing w:line="480" w:lineRule="auto"/>
        <w:jc w:val="center"/>
        <w:rPr>
          <w:rFonts w:ascii="Times New Roman" w:hAnsi="Times New Roman" w:cs="Times New Roman"/>
          <w:sz w:val="24"/>
          <w:szCs w:val="24"/>
        </w:rPr>
      </w:pPr>
    </w:p>
    <w:p w:rsidR="00C8445C" w:rsidRDefault="00C8445C">
      <w:pPr>
        <w:spacing w:line="480" w:lineRule="auto"/>
        <w:jc w:val="center"/>
        <w:rPr>
          <w:rFonts w:ascii="Times New Roman" w:hAnsi="Times New Roman" w:cs="Times New Roman"/>
          <w:sz w:val="24"/>
          <w:szCs w:val="24"/>
        </w:rPr>
      </w:pPr>
    </w:p>
    <w:p w:rsidR="00C8445C" w:rsidRDefault="00C8445C">
      <w:pPr>
        <w:spacing w:line="480" w:lineRule="auto"/>
        <w:jc w:val="center"/>
        <w:rPr>
          <w:rFonts w:ascii="Times New Roman" w:hAnsi="Times New Roman" w:cs="Times New Roman"/>
          <w:sz w:val="24"/>
          <w:szCs w:val="24"/>
        </w:rPr>
      </w:pPr>
    </w:p>
    <w:p w:rsidR="00C8445C" w:rsidRDefault="00C8445C">
      <w:pPr>
        <w:spacing w:line="480" w:lineRule="auto"/>
        <w:jc w:val="center"/>
        <w:rPr>
          <w:rFonts w:ascii="Times New Roman" w:hAnsi="Times New Roman" w:cs="Times New Roman"/>
          <w:sz w:val="24"/>
          <w:szCs w:val="24"/>
        </w:rPr>
      </w:pPr>
    </w:p>
    <w:p w:rsidR="00C8445C" w:rsidRDefault="00660661">
      <w:pPr>
        <w:spacing w:line="480" w:lineRule="auto"/>
        <w:jc w:val="center"/>
        <w:rPr>
          <w:rFonts w:ascii="Times New Roman" w:hAnsi="Times New Roman" w:cs="Times New Roman"/>
          <w:sz w:val="24"/>
          <w:szCs w:val="24"/>
        </w:rPr>
      </w:pPr>
      <w:r>
        <w:rPr>
          <w:rFonts w:ascii="Times New Roman" w:hAnsi="Times New Roman" w:cs="Times New Roman"/>
          <w:sz w:val="24"/>
          <w:szCs w:val="24"/>
        </w:rPr>
        <w:t>Persuasive essay</w:t>
      </w:r>
    </w:p>
    <w:p w:rsidR="00C8445C" w:rsidRDefault="0066066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8445C" w:rsidRDefault="0066066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8445C" w:rsidRDefault="0066066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8445C" w:rsidRDefault="00660661">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C8445C" w:rsidRDefault="00C8445C">
      <w:pPr>
        <w:spacing w:line="480" w:lineRule="auto"/>
        <w:rPr>
          <w:rFonts w:ascii="Times New Roman" w:hAnsi="Times New Roman" w:cs="Times New Roman"/>
          <w:sz w:val="24"/>
          <w:szCs w:val="24"/>
        </w:rPr>
      </w:pPr>
    </w:p>
    <w:p w:rsidR="00C8445C" w:rsidRDefault="00C8445C">
      <w:pPr>
        <w:spacing w:line="480" w:lineRule="auto"/>
        <w:rPr>
          <w:rFonts w:ascii="Times New Roman" w:hAnsi="Times New Roman" w:cs="Times New Roman"/>
          <w:sz w:val="24"/>
          <w:szCs w:val="24"/>
        </w:rPr>
      </w:pPr>
    </w:p>
    <w:p w:rsidR="00C8445C" w:rsidRDefault="00C8445C">
      <w:pPr>
        <w:spacing w:line="480" w:lineRule="auto"/>
        <w:rPr>
          <w:rFonts w:ascii="Times New Roman" w:hAnsi="Times New Roman" w:cs="Times New Roman"/>
          <w:sz w:val="24"/>
          <w:szCs w:val="24"/>
        </w:rPr>
      </w:pPr>
    </w:p>
    <w:p w:rsidR="00C8445C" w:rsidRDefault="00C8445C">
      <w:pPr>
        <w:spacing w:line="480" w:lineRule="auto"/>
        <w:rPr>
          <w:rFonts w:ascii="Times New Roman" w:hAnsi="Times New Roman" w:cs="Times New Roman"/>
          <w:sz w:val="24"/>
          <w:szCs w:val="24"/>
        </w:rPr>
      </w:pPr>
    </w:p>
    <w:p w:rsidR="00C8445C" w:rsidRDefault="00C8445C">
      <w:pPr>
        <w:spacing w:line="480" w:lineRule="auto"/>
        <w:rPr>
          <w:rFonts w:ascii="Times New Roman" w:hAnsi="Times New Roman" w:cs="Times New Roman"/>
          <w:sz w:val="24"/>
          <w:szCs w:val="24"/>
        </w:rPr>
      </w:pPr>
    </w:p>
    <w:p w:rsidR="00C8445C" w:rsidRDefault="00C8445C">
      <w:pPr>
        <w:spacing w:line="480" w:lineRule="auto"/>
        <w:rPr>
          <w:rFonts w:ascii="Times New Roman" w:hAnsi="Times New Roman" w:cs="Times New Roman"/>
          <w:sz w:val="24"/>
          <w:szCs w:val="24"/>
        </w:rPr>
      </w:pPr>
    </w:p>
    <w:p w:rsidR="00C8445C" w:rsidRDefault="00C8445C">
      <w:pPr>
        <w:spacing w:line="480" w:lineRule="auto"/>
        <w:rPr>
          <w:rFonts w:ascii="Times New Roman" w:hAnsi="Times New Roman" w:cs="Times New Roman"/>
          <w:sz w:val="24"/>
          <w:szCs w:val="24"/>
        </w:rPr>
      </w:pPr>
    </w:p>
    <w:p w:rsidR="00C8445C" w:rsidRDefault="0066066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C8445C" w:rsidRDefault="00660661">
      <w:pPr>
        <w:spacing w:line="480" w:lineRule="auto"/>
        <w:ind w:firstLine="720"/>
        <w:rPr>
          <w:rFonts w:ascii="Times New Roman" w:hAnsi="Times New Roman" w:cs="Times New Roman"/>
          <w:sz w:val="24"/>
          <w:szCs w:val="24"/>
        </w:rPr>
      </w:pPr>
      <w:r>
        <w:rPr>
          <w:rFonts w:ascii="Times New Roman" w:hAnsi="Times New Roman" w:cs="Times New Roman"/>
          <w:sz w:val="24"/>
          <w:szCs w:val="24"/>
        </w:rPr>
        <w:t>Direct to Consumer (DTC) promoting happens whenever an ad is seen by somebody who doesn't be able to go out and buy that item all along. In the US, the most widely recognized type of DTC promotion comes from the drug business. The advancements talk about t</w:t>
      </w:r>
      <w:r>
        <w:rPr>
          <w:rFonts w:ascii="Times New Roman" w:hAnsi="Times New Roman" w:cs="Times New Roman"/>
          <w:sz w:val="24"/>
          <w:szCs w:val="24"/>
        </w:rPr>
        <w:t>he points of interest a medication may have, yet then energizes the person who sees the advertisement to examine the medication with their PCP. Likewise, with a showcasing, direct to customer promoting advantages and disadvantages must be viewed while asse</w:t>
      </w:r>
      <w:r>
        <w:rPr>
          <w:rFonts w:ascii="Times New Roman" w:hAnsi="Times New Roman" w:cs="Times New Roman"/>
          <w:sz w:val="24"/>
          <w:szCs w:val="24"/>
        </w:rPr>
        <w:t>ssing these endeavors' estimation.</w:t>
      </w:r>
    </w:p>
    <w:p w:rsidR="00C8445C" w:rsidRDefault="0066066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C8445C" w:rsidRDefault="00660661">
      <w:pPr>
        <w:spacing w:line="480" w:lineRule="auto"/>
        <w:ind w:firstLine="720"/>
        <w:rPr>
          <w:rFonts w:ascii="Times New Roman" w:hAnsi="Times New Roman" w:cs="Times New Roman"/>
          <w:sz w:val="24"/>
          <w:szCs w:val="24"/>
        </w:rPr>
      </w:pPr>
      <w:r>
        <w:rPr>
          <w:rFonts w:ascii="Times New Roman" w:hAnsi="Times New Roman" w:cs="Times New Roman"/>
          <w:sz w:val="24"/>
          <w:szCs w:val="24"/>
        </w:rPr>
        <w:t>Unsavory, irritating, Big Pharma strikes again – these are only a portion of the estimations heard while experiencing a direct-to-buyer (DTC) notice. The heap plugs on radio or TV adverts in magazines, papers</w:t>
      </w:r>
      <w:r>
        <w:rPr>
          <w:rFonts w:ascii="Times New Roman" w:hAnsi="Times New Roman" w:cs="Times New Roman"/>
          <w:sz w:val="24"/>
          <w:szCs w:val="24"/>
        </w:rPr>
        <w:t>, or the web; elevating physician recommended medications to shoppers. The advantages and disadvantages of DTC promoting have been bandied about since the beginning of this advertising stage over 10 years prior. The contentions for DTC publicizing are less</w:t>
      </w:r>
      <w:r>
        <w:rPr>
          <w:rFonts w:ascii="Times New Roman" w:hAnsi="Times New Roman" w:cs="Times New Roman"/>
          <w:sz w:val="24"/>
          <w:szCs w:val="24"/>
        </w:rPr>
        <w:t xml:space="preserve"> notable yet essential to consider. To start with, DTC promotion helps with making patients aware of their treatment options, for instance, new meds for a particular disease, and the normal side effects of taking the drug. DTC adverts moreover help to dest</w:t>
      </w:r>
      <w:r>
        <w:rPr>
          <w:rFonts w:ascii="Times New Roman" w:hAnsi="Times New Roman" w:cs="Times New Roman"/>
          <w:sz w:val="24"/>
          <w:szCs w:val="24"/>
        </w:rPr>
        <w:t>igmatize and expose issues of explicit issues, prompting patients to search for clinical thought when they presumably won't have something different. To lay it out, patients become more pushed to accept accountability for their clinical administrations and</w:t>
      </w:r>
      <w:r>
        <w:rPr>
          <w:rFonts w:ascii="Times New Roman" w:hAnsi="Times New Roman" w:cs="Times New Roman"/>
          <w:sz w:val="24"/>
          <w:szCs w:val="24"/>
        </w:rPr>
        <w:t xml:space="preserve"> become more powerful associates in the patient-expert relationship (</w:t>
      </w:r>
      <w:r>
        <w:rPr>
          <w:rFonts w:ascii="Times New Roman" w:hAnsi="Times New Roman" w:cs="Times New Roman"/>
          <w:color w:val="222222"/>
          <w:sz w:val="24"/>
          <w:szCs w:val="24"/>
          <w:shd w:val="clear" w:color="auto" w:fill="FFFFFF"/>
        </w:rPr>
        <w:t>Parekh &amp; Shrank, 2018).</w:t>
      </w:r>
    </w:p>
    <w:p w:rsidR="00C8445C" w:rsidRDefault="006606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degree to which the professionals exceed the cons (or the other way around) has been contended lately, as long haul considers have followed the impacts of DTC </w:t>
      </w:r>
      <w:r>
        <w:rPr>
          <w:rFonts w:ascii="Times New Roman" w:hAnsi="Times New Roman" w:cs="Times New Roman"/>
          <w:sz w:val="24"/>
          <w:szCs w:val="24"/>
        </w:rPr>
        <w:t>publicizing the level of promoting financial plans spent on DTC publicizing, the impact on the number of remedies composed reviews of doctors on the degree to which DTC has influenced the specialist understanding relationship and endorsing propensities, th</w:t>
      </w:r>
      <w:r>
        <w:rPr>
          <w:rFonts w:ascii="Times New Roman" w:hAnsi="Times New Roman" w:cs="Times New Roman"/>
          <w:sz w:val="24"/>
          <w:szCs w:val="24"/>
        </w:rPr>
        <w:t>e spread of expenses across medical care conveyance (e.g., fewer hospitalizations with the expanded utilization of professionally prescribed medications) Allies of DTC publicizing are likewise confronting analysis of helpless oversight of the advertisement</w:t>
      </w:r>
      <w:r>
        <w:rPr>
          <w:rFonts w:ascii="Times New Roman" w:hAnsi="Times New Roman" w:cs="Times New Roman"/>
          <w:sz w:val="24"/>
          <w:szCs w:val="24"/>
        </w:rPr>
        <w:t>s by the FDA.</w:t>
      </w:r>
    </w:p>
    <w:p w:rsidR="00C8445C" w:rsidRDefault="0066066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advantages of DTC Advertising</w:t>
      </w:r>
    </w:p>
    <w:p w:rsidR="00C8445C" w:rsidRDefault="0066066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Educates consumers on opportunities for new drugs.</w:t>
      </w:r>
    </w:p>
    <w:p w:rsidR="00C8445C" w:rsidRDefault="00660661">
      <w:pPr>
        <w:spacing w:line="480" w:lineRule="auto"/>
        <w:rPr>
          <w:rFonts w:ascii="Times New Roman" w:hAnsi="Times New Roman" w:cs="Times New Roman"/>
          <w:sz w:val="24"/>
          <w:szCs w:val="24"/>
        </w:rPr>
      </w:pPr>
      <w:r>
        <w:rPr>
          <w:rFonts w:ascii="Times New Roman" w:hAnsi="Times New Roman" w:cs="Times New Roman"/>
          <w:sz w:val="24"/>
          <w:szCs w:val="24"/>
        </w:rPr>
        <w:t>When patients see their medical care proficiently, they regularly know nothing about their primary care physician's medications. By having advancements about</w:t>
      </w:r>
      <w:r>
        <w:rPr>
          <w:rFonts w:ascii="Times New Roman" w:hAnsi="Times New Roman" w:cs="Times New Roman"/>
          <w:sz w:val="24"/>
          <w:szCs w:val="24"/>
        </w:rPr>
        <w:t xml:space="preserve"> new prescriptions available to patients, they can get some data about elective medications, which might be ideal for them.</w:t>
      </w:r>
    </w:p>
    <w:p w:rsidR="00C8445C" w:rsidRDefault="0066066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It urges patients to look for prior medicines.</w:t>
      </w:r>
    </w:p>
    <w:p w:rsidR="00C8445C" w:rsidRDefault="00660661">
      <w:pPr>
        <w:spacing w:line="480" w:lineRule="auto"/>
        <w:ind w:firstLine="720"/>
        <w:rPr>
          <w:rFonts w:ascii="Times New Roman" w:hAnsi="Times New Roman" w:cs="Times New Roman"/>
          <w:sz w:val="24"/>
          <w:szCs w:val="24"/>
        </w:rPr>
      </w:pPr>
      <w:r>
        <w:rPr>
          <w:rFonts w:ascii="Times New Roman" w:hAnsi="Times New Roman" w:cs="Times New Roman"/>
          <w:sz w:val="24"/>
          <w:szCs w:val="24"/>
        </w:rPr>
        <w:t>Timely conclusion and diagnosis is a way of vanquishing pretty much each</w:t>
      </w:r>
      <w:r>
        <w:rPr>
          <w:rFonts w:ascii="Times New Roman" w:hAnsi="Times New Roman" w:cs="Times New Roman"/>
          <w:sz w:val="24"/>
          <w:szCs w:val="24"/>
        </w:rPr>
        <w:t xml:space="preserve"> infection in the world at present. The disease particularly gets simpler to diagnose and reduce with timely identification. It is publicizing to raise patient attention to the likely notice indications of a genuine sickness so early therapy turns out to b</w:t>
      </w:r>
      <w:r>
        <w:rPr>
          <w:rFonts w:ascii="Times New Roman" w:hAnsi="Times New Roman" w:cs="Times New Roman"/>
          <w:sz w:val="24"/>
          <w:szCs w:val="24"/>
        </w:rPr>
        <w:t xml:space="preserve">e, to a greater extent, a chance. </w:t>
      </w:r>
    </w:p>
    <w:p w:rsidR="00C8445C" w:rsidRDefault="0066066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pictures used in promoting are frequently engaging. </w:t>
      </w:r>
    </w:p>
    <w:p w:rsidR="00C8445C" w:rsidRDefault="00660661">
      <w:pPr>
        <w:spacing w:line="480" w:lineRule="auto"/>
        <w:ind w:firstLine="720"/>
        <w:rPr>
          <w:rFonts w:ascii="Times New Roman" w:hAnsi="Times New Roman" w:cs="Times New Roman"/>
          <w:sz w:val="24"/>
          <w:szCs w:val="24"/>
        </w:rPr>
      </w:pPr>
      <w:r>
        <w:rPr>
          <w:rFonts w:ascii="Times New Roman" w:hAnsi="Times New Roman" w:cs="Times New Roman"/>
          <w:sz w:val="24"/>
          <w:szCs w:val="24"/>
        </w:rPr>
        <w:t>Numerous individuals have no interest in attending to the specialist. 1 out of 10 individuals is always terrified of seeing a specialist. It's not always a direct r</w:t>
      </w:r>
      <w:r>
        <w:rPr>
          <w:rFonts w:ascii="Times New Roman" w:hAnsi="Times New Roman" w:cs="Times New Roman"/>
          <w:sz w:val="24"/>
          <w:szCs w:val="24"/>
        </w:rPr>
        <w:t>esult of disavowal. It’s always a genuine dread. Engaging pictures found inside the normal ad promoting assist with putting terrified personalities calm.</w:t>
      </w:r>
    </w:p>
    <w:p w:rsidR="00C8445C" w:rsidRDefault="0066066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Specialists frequently satisfy tolerant medication demands. </w:t>
      </w:r>
    </w:p>
    <w:p w:rsidR="00C8445C" w:rsidRDefault="006606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Patients responsible for their wellbeing </w:t>
      </w:r>
      <w:r>
        <w:rPr>
          <w:rFonts w:ascii="Times New Roman" w:hAnsi="Times New Roman" w:cs="Times New Roman"/>
          <w:sz w:val="24"/>
          <w:szCs w:val="24"/>
        </w:rPr>
        <w:t>and those who have a promising outlook about it frequently have a decent possibility of recuperating even from a genuine sickness. At the point when DTC publicizing gives somebody trust since they see another medication which hasn't been prescribed to them</w:t>
      </w:r>
      <w:r>
        <w:rPr>
          <w:rFonts w:ascii="Times New Roman" w:hAnsi="Times New Roman" w:cs="Times New Roman"/>
          <w:sz w:val="24"/>
          <w:szCs w:val="24"/>
        </w:rPr>
        <w:t xml:space="preserve"> previously, at that point, that expectation can turn into a ground-breaking recuperating instrument. </w:t>
      </w:r>
    </w:p>
    <w:p w:rsidR="00C8445C" w:rsidRDefault="0066066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various assets accessible to respond to understanding inquiries. </w:t>
      </w:r>
    </w:p>
    <w:p w:rsidR="00C8445C" w:rsidRDefault="0066066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Individuals can go to their drug specialists on the off chance that they need</w:t>
      </w:r>
      <w:r>
        <w:rPr>
          <w:rFonts w:ascii="Times New Roman" w:hAnsi="Times New Roman" w:cs="Times New Roman"/>
          <w:sz w:val="24"/>
          <w:szCs w:val="24"/>
        </w:rPr>
        <w:t xml:space="preserve"> their questions about the medication they are keen on utilizing. It is not only the specialist that turns into an asset about medicine on account of DTC promoting (</w:t>
      </w:r>
      <w:r>
        <w:rPr>
          <w:rFonts w:ascii="Times New Roman" w:hAnsi="Times New Roman" w:cs="Times New Roman"/>
          <w:color w:val="222222"/>
          <w:sz w:val="24"/>
          <w:szCs w:val="24"/>
          <w:shd w:val="clear" w:color="auto" w:fill="FFFFFF"/>
        </w:rPr>
        <w:t>Huhmann &amp; Limbu, 2020).</w:t>
      </w:r>
    </w:p>
    <w:p w:rsidR="00C8445C" w:rsidRDefault="0066066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disadvantages of DTC</w:t>
      </w:r>
    </w:p>
    <w:p w:rsidR="00C8445C" w:rsidRDefault="0066066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Prompts bogus wellbeing alarms. </w:t>
      </w:r>
    </w:p>
    <w:p w:rsidR="00C8445C" w:rsidRDefault="00660661">
      <w:pPr>
        <w:spacing w:line="480" w:lineRule="auto"/>
        <w:ind w:firstLine="720"/>
        <w:rPr>
          <w:rFonts w:ascii="Times New Roman" w:hAnsi="Times New Roman" w:cs="Times New Roman"/>
          <w:sz w:val="24"/>
          <w:szCs w:val="24"/>
        </w:rPr>
      </w:pPr>
      <w:r>
        <w:rPr>
          <w:rFonts w:ascii="Times New Roman" w:hAnsi="Times New Roman" w:cs="Times New Roman"/>
          <w:sz w:val="24"/>
          <w:szCs w:val="24"/>
        </w:rPr>
        <w:t>DTC promo</w:t>
      </w:r>
      <w:r>
        <w:rPr>
          <w:rFonts w:ascii="Times New Roman" w:hAnsi="Times New Roman" w:cs="Times New Roman"/>
          <w:sz w:val="24"/>
          <w:szCs w:val="24"/>
        </w:rPr>
        <w:t>ting regularly examines what indications can be settled when the medicine is taken as instructed. This can cause people to hear those signs, accept that they've experienced them additionally, and subsequently acknowledge they have the issue or ailment bein</w:t>
      </w:r>
      <w:r>
        <w:rPr>
          <w:rFonts w:ascii="Times New Roman" w:hAnsi="Times New Roman" w:cs="Times New Roman"/>
          <w:sz w:val="24"/>
          <w:szCs w:val="24"/>
        </w:rPr>
        <w:t>g discussed. Thus, patients' consume money on their clinical consideration that didn't should be spent.</w:t>
      </w:r>
    </w:p>
    <w:p w:rsidR="00C8445C" w:rsidRDefault="0066066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It expands quite expenses.</w:t>
      </w:r>
    </w:p>
    <w:p w:rsidR="00C8445C" w:rsidRDefault="006606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Do medication makers cater to the expense of DTC promoting? Will the merchants cater for a portion of the expense? Obviously </w:t>
      </w:r>
      <w:r>
        <w:rPr>
          <w:rFonts w:ascii="Times New Roman" w:hAnsi="Times New Roman" w:cs="Times New Roman"/>
          <w:sz w:val="24"/>
          <w:szCs w:val="24"/>
        </w:rPr>
        <w:t xml:space="preserve">no. Promoting expenses are incorporated into the expenses of the medications appropriated. This shows eventually the sick who cater excess for the medication need given the showcasing endeavors. </w:t>
      </w:r>
    </w:p>
    <w:p w:rsidR="00C8445C" w:rsidRDefault="0066066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results of medication may cause frequent under-expressio</w:t>
      </w:r>
      <w:r>
        <w:rPr>
          <w:rFonts w:ascii="Times New Roman" w:hAnsi="Times New Roman" w:cs="Times New Roman"/>
          <w:sz w:val="24"/>
          <w:szCs w:val="24"/>
        </w:rPr>
        <w:t xml:space="preserve">n. </w:t>
      </w:r>
    </w:p>
    <w:p w:rsidR="00C8445C" w:rsidRDefault="0066066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television DTC promotion, one will regularly listen to the storyteller explain the results quickly and reasonably as expected. The other choice is to introduce the results in an adoring, a voice heard, "Don't stress over these." Side impacts are c</w:t>
      </w:r>
      <w:r>
        <w:rPr>
          <w:rFonts w:ascii="Times New Roman" w:hAnsi="Times New Roman" w:cs="Times New Roman"/>
          <w:sz w:val="24"/>
          <w:szCs w:val="24"/>
        </w:rPr>
        <w:t xml:space="preserve">onsidered as a feature of the symptomatic cycle; however, lamentably, they will, in general, be neglected by those presented to the publicizing being referred to. </w:t>
      </w:r>
    </w:p>
    <w:p w:rsidR="00C8445C" w:rsidRDefault="0066066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medical advantages which can be gotten will, in general, be over-expressed.</w:t>
      </w:r>
    </w:p>
    <w:p w:rsidR="00C8445C" w:rsidRDefault="00660661">
      <w:pPr>
        <w:spacing w:line="480" w:lineRule="auto"/>
        <w:rPr>
          <w:rFonts w:ascii="Times New Roman" w:hAnsi="Times New Roman" w:cs="Times New Roman"/>
          <w:sz w:val="24"/>
          <w:szCs w:val="24"/>
        </w:rPr>
      </w:pPr>
      <w:r>
        <w:rPr>
          <w:rFonts w:ascii="Times New Roman" w:hAnsi="Times New Roman" w:cs="Times New Roman"/>
          <w:sz w:val="24"/>
          <w:szCs w:val="24"/>
        </w:rPr>
        <w:t>If 1 individ</w:t>
      </w:r>
      <w:r>
        <w:rPr>
          <w:rFonts w:ascii="Times New Roman" w:hAnsi="Times New Roman" w:cs="Times New Roman"/>
          <w:sz w:val="24"/>
          <w:szCs w:val="24"/>
        </w:rPr>
        <w:t>ual in 100 can have an all-out fix from another solution, the medicine creator can present a DTC advancement that says there is the opportunity of a fix happening. It doesn't have any effect if the fixed rate is just 1%.</w:t>
      </w:r>
    </w:p>
    <w:p w:rsidR="00C8445C" w:rsidRDefault="0066066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It empowers the utilization of medi</w:t>
      </w:r>
      <w:r>
        <w:rPr>
          <w:rFonts w:ascii="Times New Roman" w:hAnsi="Times New Roman" w:cs="Times New Roman"/>
          <w:sz w:val="24"/>
          <w:szCs w:val="24"/>
        </w:rPr>
        <w:t>cine even when it's not generally vital.</w:t>
      </w:r>
    </w:p>
    <w:p w:rsidR="00C8445C" w:rsidRDefault="0066066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a couple of conditions that can benefit from lifestyle changes and non-drug medications. Due to DTC publicizing, in any case, various patients are looking for a helpful arrangement that the prescription se</w:t>
      </w:r>
      <w:r>
        <w:rPr>
          <w:rFonts w:ascii="Times New Roman" w:hAnsi="Times New Roman" w:cs="Times New Roman"/>
          <w:sz w:val="24"/>
          <w:szCs w:val="24"/>
        </w:rPr>
        <w:t>ems to ensure instead of the work it may take to recuperate their prosperity (</w:t>
      </w:r>
      <w:r>
        <w:rPr>
          <w:rFonts w:ascii="Times New Roman" w:hAnsi="Times New Roman" w:cs="Times New Roman"/>
          <w:color w:val="222222"/>
          <w:sz w:val="24"/>
          <w:szCs w:val="24"/>
          <w:shd w:val="clear" w:color="auto" w:fill="FFFFFF"/>
        </w:rPr>
        <w:t>Knöchelmann et al., 2020).</w:t>
      </w:r>
    </w:p>
    <w:p w:rsidR="00C8445C" w:rsidRDefault="0066066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promotions are driving up by, and large clinical expenses since patients decide on the brand-name drugs they've seen advertisements for instead of </w:t>
      </w:r>
      <w:r>
        <w:rPr>
          <w:rFonts w:ascii="Times New Roman" w:hAnsi="Times New Roman" w:cs="Times New Roman"/>
          <w:sz w:val="24"/>
          <w:szCs w:val="24"/>
        </w:rPr>
        <w:t>more moderate generics.</w:t>
      </w:r>
    </w:p>
    <w:p w:rsidR="00C8445C" w:rsidRDefault="0066066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Even though the data in the promotions might be honest, some vibe it is introduced to underscores or overestimates the advantages of the medication while de-accentuating the results and negative focuses. Thus, patients may create ri</w:t>
      </w:r>
      <w:r>
        <w:rPr>
          <w:rFonts w:ascii="Times New Roman" w:hAnsi="Times New Roman" w:cs="Times New Roman"/>
          <w:sz w:val="24"/>
          <w:szCs w:val="24"/>
        </w:rPr>
        <w:t>diculous desires.</w:t>
      </w:r>
    </w:p>
    <w:p w:rsidR="00C8445C" w:rsidRDefault="00660661">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Even though an advertisement is FDA-endorsed, it can take long periods of utilization to realize the drawn-out impacts of another medication genuinely. These promotions may urge patients to demand new meds before a specialist is OK </w:t>
      </w:r>
      <w:r>
        <w:rPr>
          <w:rFonts w:ascii="Times New Roman" w:hAnsi="Times New Roman" w:cs="Times New Roman"/>
          <w:sz w:val="24"/>
          <w:szCs w:val="24"/>
        </w:rPr>
        <w:t>with their drawn-out wellbeing and viability.</w:t>
      </w:r>
    </w:p>
    <w:p w:rsidR="00C8445C" w:rsidRDefault="0066066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advertisements may persuade patients that totally typical and sound changes indicate a genuine condition, urging them to look for the clinical treatment they don't really require. Therefore, a few specialis</w:t>
      </w:r>
      <w:r>
        <w:rPr>
          <w:rFonts w:ascii="Times New Roman" w:hAnsi="Times New Roman" w:cs="Times New Roman"/>
          <w:sz w:val="24"/>
          <w:szCs w:val="24"/>
        </w:rPr>
        <w:t>ts accept the advertisements add to the abuse of doctor-prescribed medications for ailments that are innocuous or settled with a way of life changes.</w:t>
      </w:r>
    </w:p>
    <w:p w:rsidR="00C8445C" w:rsidRDefault="0066066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At the point when a patient is persuaded that they understand what drug they need dependent on advertiseme</w:t>
      </w:r>
      <w:r>
        <w:rPr>
          <w:rFonts w:ascii="Times New Roman" w:hAnsi="Times New Roman" w:cs="Times New Roman"/>
          <w:sz w:val="24"/>
          <w:szCs w:val="24"/>
        </w:rPr>
        <w:t>nts they've seen, it might compel the specialist to invest important arrangement energy clarifying why they are recommending an alternate choice and may hurt client relationship the board by making patients doubt their primary care physician's aptitude.</w:t>
      </w:r>
    </w:p>
    <w:p w:rsidR="00C8445C" w:rsidRDefault="0066066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World Health Organization (WHO) suggests restricting DTC promotions for remedy just medications, and the US and New Zealand are the main nations where these advertisements are legitimate.</w:t>
      </w:r>
    </w:p>
    <w:p w:rsidR="00C8445C" w:rsidRDefault="0066066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C8445C" w:rsidRDefault="00660661">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arrangement is incidentally boycott buyer promoti</w:t>
      </w:r>
      <w:r>
        <w:rPr>
          <w:rFonts w:ascii="Times New Roman" w:hAnsi="Times New Roman" w:cs="Times New Roman"/>
          <w:sz w:val="24"/>
          <w:szCs w:val="24"/>
        </w:rPr>
        <w:t xml:space="preserve">ng for a period after a medication first hits the market. Recently dispatched prescriptions regularly bring startling results. Some medication organizations have begun as far as possible their publicizing. The drug industry should be eager to do likewise. </w:t>
      </w:r>
      <w:r>
        <w:rPr>
          <w:rFonts w:ascii="Times New Roman" w:hAnsi="Times New Roman" w:cs="Times New Roman"/>
          <w:sz w:val="24"/>
          <w:szCs w:val="24"/>
        </w:rPr>
        <w:t>Advancing meds isn't generally something very similar to advancing general wellbeing. Administrators have pushed bills to boycott drug promotions previously. However, another exertion is probably going to be incredibly antagonistic due to the analysis that</w:t>
      </w:r>
      <w:r>
        <w:rPr>
          <w:rFonts w:ascii="Times New Roman" w:hAnsi="Times New Roman" w:cs="Times New Roman"/>
          <w:sz w:val="24"/>
          <w:szCs w:val="24"/>
        </w:rPr>
        <w:t xml:space="preserve"> any cutoff points on medication publicizing would stomp all over the free discourse privileges of the drug organization. </w:t>
      </w:r>
    </w:p>
    <w:p w:rsidR="00C8445C" w:rsidRDefault="00660661">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a boycott to become effective, Congress would need to pass another law. Furthermore, given the horrible odds for political change</w:t>
      </w:r>
      <w:r>
        <w:rPr>
          <w:rFonts w:ascii="Times New Roman" w:hAnsi="Times New Roman" w:cs="Times New Roman"/>
          <w:sz w:val="24"/>
          <w:szCs w:val="24"/>
        </w:rPr>
        <w:t>, the AMA may be in an ideal situation arriving at a trade-off than setting up an adversarial relationship with drug creators.</w:t>
      </w:r>
    </w:p>
    <w:p w:rsidR="00C8445C" w:rsidRDefault="00C8445C">
      <w:pPr>
        <w:spacing w:line="480" w:lineRule="auto"/>
        <w:rPr>
          <w:rFonts w:ascii="Times New Roman" w:hAnsi="Times New Roman" w:cs="Times New Roman"/>
          <w:sz w:val="24"/>
          <w:szCs w:val="24"/>
        </w:rPr>
      </w:pPr>
    </w:p>
    <w:p w:rsidR="00C8445C" w:rsidRDefault="00C8445C">
      <w:pPr>
        <w:spacing w:line="480" w:lineRule="auto"/>
        <w:rPr>
          <w:rFonts w:ascii="Times New Roman" w:hAnsi="Times New Roman" w:cs="Times New Roman"/>
          <w:sz w:val="24"/>
          <w:szCs w:val="24"/>
        </w:rPr>
      </w:pPr>
    </w:p>
    <w:p w:rsidR="00C8445C" w:rsidRDefault="00C8445C">
      <w:pPr>
        <w:spacing w:line="480" w:lineRule="auto"/>
        <w:rPr>
          <w:rFonts w:ascii="Times New Roman" w:hAnsi="Times New Roman" w:cs="Times New Roman"/>
          <w:sz w:val="24"/>
          <w:szCs w:val="24"/>
        </w:rPr>
      </w:pPr>
    </w:p>
    <w:p w:rsidR="00C8445C" w:rsidRDefault="00C8445C">
      <w:pPr>
        <w:spacing w:line="480" w:lineRule="auto"/>
        <w:rPr>
          <w:rFonts w:ascii="Times New Roman" w:hAnsi="Times New Roman" w:cs="Times New Roman"/>
          <w:sz w:val="24"/>
          <w:szCs w:val="24"/>
        </w:rPr>
      </w:pPr>
    </w:p>
    <w:p w:rsidR="00C8445C" w:rsidRDefault="00C8445C">
      <w:pPr>
        <w:spacing w:line="480" w:lineRule="auto"/>
        <w:rPr>
          <w:rFonts w:ascii="Times New Roman" w:hAnsi="Times New Roman" w:cs="Times New Roman"/>
          <w:sz w:val="24"/>
          <w:szCs w:val="24"/>
        </w:rPr>
      </w:pPr>
    </w:p>
    <w:p w:rsidR="00C8445C" w:rsidRDefault="00C8445C">
      <w:pPr>
        <w:spacing w:line="480" w:lineRule="auto"/>
        <w:rPr>
          <w:rFonts w:ascii="Times New Roman" w:hAnsi="Times New Roman" w:cs="Times New Roman"/>
          <w:sz w:val="24"/>
          <w:szCs w:val="24"/>
        </w:rPr>
      </w:pPr>
    </w:p>
    <w:p w:rsidR="00C8445C" w:rsidRDefault="00660661">
      <w:pPr>
        <w:pStyle w:val="NormalWeb"/>
        <w:shd w:val="clear" w:color="auto" w:fill="FFFFFF"/>
        <w:tabs>
          <w:tab w:val="left" w:pos="1725"/>
          <w:tab w:val="center" w:pos="4680"/>
        </w:tabs>
        <w:spacing w:before="0" w:beforeAutospacing="0" w:after="240" w:afterAutospacing="0" w:line="480" w:lineRule="auto"/>
        <w:textAlignment w:val="baseline"/>
        <w:rPr>
          <w:color w:val="333333"/>
        </w:rPr>
      </w:pPr>
      <w:r>
        <w:rPr>
          <w:color w:val="333333"/>
        </w:rPr>
        <w:tab/>
      </w:r>
      <w:r>
        <w:rPr>
          <w:color w:val="333333"/>
        </w:rPr>
        <w:tab/>
        <w:t>References</w:t>
      </w:r>
    </w:p>
    <w:p w:rsidR="00C8445C" w:rsidRDefault="00660661">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Parekh, N., &amp; Shrank, W. H. (2018). Dangers and opportunities for direct-to-consumer advertising.</w:t>
      </w:r>
    </w:p>
    <w:p w:rsidR="00C8445C" w:rsidRDefault="00660661">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Huhmann, B. </w:t>
      </w:r>
      <w:r>
        <w:rPr>
          <w:rFonts w:ascii="Times New Roman" w:hAnsi="Times New Roman" w:cs="Times New Roman"/>
          <w:color w:val="222222"/>
          <w:sz w:val="24"/>
          <w:szCs w:val="24"/>
          <w:shd w:val="clear" w:color="auto" w:fill="FFFFFF"/>
        </w:rPr>
        <w:t>A., &amp; Limbu, Y. B. (2020). Creative Advertising Executions Encourage the Processing Advantages of Product Familiarity. </w:t>
      </w:r>
      <w:r>
        <w:rPr>
          <w:rFonts w:ascii="Times New Roman" w:hAnsi="Times New Roman" w:cs="Times New Roman"/>
          <w:i/>
          <w:iCs/>
          <w:color w:val="222222"/>
          <w:sz w:val="24"/>
          <w:szCs w:val="24"/>
          <w:shd w:val="clear" w:color="auto" w:fill="FFFFFF"/>
        </w:rPr>
        <w:t>Journal of Current Issues &amp; Research in Advertising</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41</w:t>
      </w:r>
      <w:r>
        <w:rPr>
          <w:rFonts w:ascii="Times New Roman" w:hAnsi="Times New Roman" w:cs="Times New Roman"/>
          <w:color w:val="222222"/>
          <w:sz w:val="24"/>
          <w:szCs w:val="24"/>
          <w:shd w:val="clear" w:color="auto" w:fill="FFFFFF"/>
        </w:rPr>
        <w:t>(2), 206-228.</w:t>
      </w:r>
    </w:p>
    <w:p w:rsidR="00C8445C" w:rsidRDefault="00660661">
      <w:pPr>
        <w:spacing w:line="480" w:lineRule="auto"/>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Knöchelmann, A., Günther, S., Moor, I., Seifert, N., &amp; Richter, M. (</w:t>
      </w:r>
      <w:r>
        <w:rPr>
          <w:rFonts w:ascii="Times New Roman" w:hAnsi="Times New Roman" w:cs="Times New Roman"/>
          <w:color w:val="222222"/>
          <w:sz w:val="24"/>
          <w:szCs w:val="24"/>
          <w:shd w:val="clear" w:color="auto" w:fill="FFFFFF"/>
        </w:rPr>
        <w:t xml:space="preserve">2020). Social mobility, accumulation of disadvantages, and health. An analysis with retrospective data from the GSOEP (2002–14). </w:t>
      </w:r>
      <w:r>
        <w:rPr>
          <w:rFonts w:ascii="Times New Roman" w:hAnsi="Times New Roman" w:cs="Times New Roman"/>
          <w:i/>
          <w:iCs/>
          <w:color w:val="222222"/>
          <w:sz w:val="24"/>
          <w:szCs w:val="24"/>
          <w:shd w:val="clear" w:color="auto" w:fill="FFFFFF"/>
        </w:rPr>
        <w:t>European Journal of Public Health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30</w:t>
      </w:r>
      <w:r>
        <w:rPr>
          <w:rFonts w:ascii="Times New Roman" w:hAnsi="Times New Roman" w:cs="Times New Roman"/>
          <w:color w:val="222222"/>
          <w:sz w:val="24"/>
          <w:szCs w:val="24"/>
          <w:shd w:val="clear" w:color="auto" w:fill="FFFFFF"/>
        </w:rPr>
        <w:t>(1), 98-104.</w:t>
      </w:r>
    </w:p>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p w:rsidR="00C8445C" w:rsidRDefault="00C8445C"/>
    <w:sectPr w:rsidR="00C8445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660661">
      <w:pPr>
        <w:spacing w:after="0" w:line="240" w:lineRule="auto"/>
      </w:pPr>
      <w:r>
        <w:separator/>
      </w:r>
    </w:p>
  </w:endnote>
  <w:endnote w:type="continuationSeparator" w:id="0">
    <w:p w:rsidR="00000000" w:rsidRDefault="00660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660661">
      <w:pPr>
        <w:spacing w:after="0" w:line="240" w:lineRule="auto"/>
      </w:pPr>
      <w:r>
        <w:separator/>
      </w:r>
    </w:p>
  </w:footnote>
  <w:footnote w:type="continuationSeparator" w:id="0">
    <w:p w:rsidR="00000000" w:rsidRDefault="00660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8445C" w:rsidRDefault="00660661">
    <w:pPr>
      <w:pStyle w:val="Header"/>
      <w:jc w:val="right"/>
    </w:pPr>
    <w:r>
      <w:fldChar w:fldCharType="begin"/>
    </w:r>
    <w:r>
      <w:instrText xml:space="preserve"> PAGE   \* MERGEFORMAT </w:instrText>
    </w:r>
    <w:r>
      <w:fldChar w:fldCharType="separate"/>
    </w:r>
    <w:r>
      <w:rPr>
        <w:noProof/>
      </w:rPr>
      <w:t>3</w:t>
    </w:r>
    <w:r>
      <w:rPr>
        <w:noProof/>
      </w:rPr>
      <w:fldChar w:fldCharType="end"/>
    </w:r>
  </w:p>
  <w:p w:rsidR="00C8445C" w:rsidRDefault="00C844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multiLevelType w:val="hybridMultilevel"/>
    <w:tmpl w:val="16B6ABE8"/>
    <w:lvl w:ilvl="0" w:tplc="6024A70C">
      <w:start w:val="1"/>
      <w:numFmt w:val="bullet"/>
      <w:lvlText w:val=""/>
      <w:lvlJc w:val="left"/>
      <w:pPr>
        <w:ind w:left="780" w:hanging="360"/>
      </w:pPr>
      <w:rPr>
        <w:rFonts w:ascii="Symbol" w:hAnsi="Symbol" w:hint="default"/>
      </w:rPr>
    </w:lvl>
    <w:lvl w:ilvl="1" w:tplc="17C8CD72" w:tentative="1">
      <w:start w:val="1"/>
      <w:numFmt w:val="bullet"/>
      <w:lvlText w:val="o"/>
      <w:lvlJc w:val="left"/>
      <w:pPr>
        <w:ind w:left="1500" w:hanging="360"/>
      </w:pPr>
      <w:rPr>
        <w:rFonts w:ascii="Courier New" w:hAnsi="Courier New" w:cs="Courier New" w:hint="default"/>
      </w:rPr>
    </w:lvl>
    <w:lvl w:ilvl="2" w:tplc="25F0B338" w:tentative="1">
      <w:start w:val="1"/>
      <w:numFmt w:val="bullet"/>
      <w:lvlText w:val=""/>
      <w:lvlJc w:val="left"/>
      <w:pPr>
        <w:ind w:left="2220" w:hanging="360"/>
      </w:pPr>
      <w:rPr>
        <w:rFonts w:ascii="Wingdings" w:hAnsi="Wingdings" w:hint="default"/>
      </w:rPr>
    </w:lvl>
    <w:lvl w:ilvl="3" w:tplc="ECA64D80" w:tentative="1">
      <w:start w:val="1"/>
      <w:numFmt w:val="bullet"/>
      <w:lvlText w:val=""/>
      <w:lvlJc w:val="left"/>
      <w:pPr>
        <w:ind w:left="2940" w:hanging="360"/>
      </w:pPr>
      <w:rPr>
        <w:rFonts w:ascii="Symbol" w:hAnsi="Symbol" w:hint="default"/>
      </w:rPr>
    </w:lvl>
    <w:lvl w:ilvl="4" w:tplc="B6CE8EEA" w:tentative="1">
      <w:start w:val="1"/>
      <w:numFmt w:val="bullet"/>
      <w:lvlText w:val="o"/>
      <w:lvlJc w:val="left"/>
      <w:pPr>
        <w:ind w:left="3660" w:hanging="360"/>
      </w:pPr>
      <w:rPr>
        <w:rFonts w:ascii="Courier New" w:hAnsi="Courier New" w:cs="Courier New" w:hint="default"/>
      </w:rPr>
    </w:lvl>
    <w:lvl w:ilvl="5" w:tplc="0D62C5C0" w:tentative="1">
      <w:start w:val="1"/>
      <w:numFmt w:val="bullet"/>
      <w:lvlText w:val=""/>
      <w:lvlJc w:val="left"/>
      <w:pPr>
        <w:ind w:left="4380" w:hanging="360"/>
      </w:pPr>
      <w:rPr>
        <w:rFonts w:ascii="Wingdings" w:hAnsi="Wingdings" w:hint="default"/>
      </w:rPr>
    </w:lvl>
    <w:lvl w:ilvl="6" w:tplc="DE1EB214" w:tentative="1">
      <w:start w:val="1"/>
      <w:numFmt w:val="bullet"/>
      <w:lvlText w:val=""/>
      <w:lvlJc w:val="left"/>
      <w:pPr>
        <w:ind w:left="5100" w:hanging="360"/>
      </w:pPr>
      <w:rPr>
        <w:rFonts w:ascii="Symbol" w:hAnsi="Symbol" w:hint="default"/>
      </w:rPr>
    </w:lvl>
    <w:lvl w:ilvl="7" w:tplc="20A00FA4" w:tentative="1">
      <w:start w:val="1"/>
      <w:numFmt w:val="bullet"/>
      <w:lvlText w:val="o"/>
      <w:lvlJc w:val="left"/>
      <w:pPr>
        <w:ind w:left="5820" w:hanging="360"/>
      </w:pPr>
      <w:rPr>
        <w:rFonts w:ascii="Courier New" w:hAnsi="Courier New" w:cs="Courier New" w:hint="default"/>
      </w:rPr>
    </w:lvl>
    <w:lvl w:ilvl="8" w:tplc="5F000A8E" w:tentative="1">
      <w:start w:val="1"/>
      <w:numFmt w:val="bullet"/>
      <w:lvlText w:val=""/>
      <w:lvlJc w:val="left"/>
      <w:pPr>
        <w:ind w:left="6540" w:hanging="360"/>
      </w:pPr>
      <w:rPr>
        <w:rFonts w:ascii="Wingdings" w:hAnsi="Wingdings" w:hint="default"/>
      </w:rPr>
    </w:lvl>
  </w:abstractNum>
  <w:abstractNum w:abstractNumId="1" w15:restartNumberingAfterBreak="0">
    <w:nsid w:val="00000001"/>
    <w:multiLevelType w:val="hybridMultilevel"/>
    <w:tmpl w:val="D5641736"/>
    <w:lvl w:ilvl="0" w:tplc="57469150">
      <w:start w:val="1"/>
      <w:numFmt w:val="bullet"/>
      <w:lvlText w:val=""/>
      <w:lvlJc w:val="left"/>
      <w:pPr>
        <w:ind w:left="720" w:hanging="360"/>
      </w:pPr>
      <w:rPr>
        <w:rFonts w:ascii="Symbol" w:hAnsi="Symbol" w:hint="default"/>
      </w:rPr>
    </w:lvl>
    <w:lvl w:ilvl="1" w:tplc="2148341C" w:tentative="1">
      <w:start w:val="1"/>
      <w:numFmt w:val="bullet"/>
      <w:lvlText w:val="o"/>
      <w:lvlJc w:val="left"/>
      <w:pPr>
        <w:ind w:left="1440" w:hanging="360"/>
      </w:pPr>
      <w:rPr>
        <w:rFonts w:ascii="Courier New" w:hAnsi="Courier New" w:cs="Courier New" w:hint="default"/>
      </w:rPr>
    </w:lvl>
    <w:lvl w:ilvl="2" w:tplc="829401D6" w:tentative="1">
      <w:start w:val="1"/>
      <w:numFmt w:val="bullet"/>
      <w:lvlText w:val=""/>
      <w:lvlJc w:val="left"/>
      <w:pPr>
        <w:ind w:left="2160" w:hanging="360"/>
      </w:pPr>
      <w:rPr>
        <w:rFonts w:ascii="Wingdings" w:hAnsi="Wingdings" w:hint="default"/>
      </w:rPr>
    </w:lvl>
    <w:lvl w:ilvl="3" w:tplc="B5C26B1A" w:tentative="1">
      <w:start w:val="1"/>
      <w:numFmt w:val="bullet"/>
      <w:lvlText w:val=""/>
      <w:lvlJc w:val="left"/>
      <w:pPr>
        <w:ind w:left="2880" w:hanging="360"/>
      </w:pPr>
      <w:rPr>
        <w:rFonts w:ascii="Symbol" w:hAnsi="Symbol" w:hint="default"/>
      </w:rPr>
    </w:lvl>
    <w:lvl w:ilvl="4" w:tplc="2B942F5E" w:tentative="1">
      <w:start w:val="1"/>
      <w:numFmt w:val="bullet"/>
      <w:lvlText w:val="o"/>
      <w:lvlJc w:val="left"/>
      <w:pPr>
        <w:ind w:left="3600" w:hanging="360"/>
      </w:pPr>
      <w:rPr>
        <w:rFonts w:ascii="Courier New" w:hAnsi="Courier New" w:cs="Courier New" w:hint="default"/>
      </w:rPr>
    </w:lvl>
    <w:lvl w:ilvl="5" w:tplc="A38845FC" w:tentative="1">
      <w:start w:val="1"/>
      <w:numFmt w:val="bullet"/>
      <w:lvlText w:val=""/>
      <w:lvlJc w:val="left"/>
      <w:pPr>
        <w:ind w:left="4320" w:hanging="360"/>
      </w:pPr>
      <w:rPr>
        <w:rFonts w:ascii="Wingdings" w:hAnsi="Wingdings" w:hint="default"/>
      </w:rPr>
    </w:lvl>
    <w:lvl w:ilvl="6" w:tplc="5F1E6370" w:tentative="1">
      <w:start w:val="1"/>
      <w:numFmt w:val="bullet"/>
      <w:lvlText w:val=""/>
      <w:lvlJc w:val="left"/>
      <w:pPr>
        <w:ind w:left="5040" w:hanging="360"/>
      </w:pPr>
      <w:rPr>
        <w:rFonts w:ascii="Symbol" w:hAnsi="Symbol" w:hint="default"/>
      </w:rPr>
    </w:lvl>
    <w:lvl w:ilvl="7" w:tplc="59768D54" w:tentative="1">
      <w:start w:val="1"/>
      <w:numFmt w:val="bullet"/>
      <w:lvlText w:val="o"/>
      <w:lvlJc w:val="left"/>
      <w:pPr>
        <w:ind w:left="5760" w:hanging="360"/>
      </w:pPr>
      <w:rPr>
        <w:rFonts w:ascii="Courier New" w:hAnsi="Courier New" w:cs="Courier New" w:hint="default"/>
      </w:rPr>
    </w:lvl>
    <w:lvl w:ilvl="8" w:tplc="6E483A68" w:tentative="1">
      <w:start w:val="1"/>
      <w:numFmt w:val="bullet"/>
      <w:lvlText w:val=""/>
      <w:lvlJc w:val="left"/>
      <w:pPr>
        <w:ind w:left="6480" w:hanging="360"/>
      </w:pPr>
      <w:rPr>
        <w:rFonts w:ascii="Wingdings" w:hAnsi="Wingdings" w:hint="default"/>
      </w:rPr>
    </w:lvl>
  </w:abstractNum>
  <w:abstractNum w:abstractNumId="2" w15:restartNumberingAfterBreak="0">
    <w:nsid w:val="00000002"/>
    <w:multiLevelType w:val="hybridMultilevel"/>
    <w:tmpl w:val="6DD4BA70"/>
    <w:lvl w:ilvl="0" w:tplc="4314BBE0">
      <w:start w:val="1"/>
      <w:numFmt w:val="bullet"/>
      <w:lvlText w:val=""/>
      <w:lvlJc w:val="left"/>
      <w:pPr>
        <w:ind w:left="720" w:hanging="360"/>
      </w:pPr>
      <w:rPr>
        <w:rFonts w:ascii="Symbol" w:hAnsi="Symbol" w:hint="default"/>
      </w:rPr>
    </w:lvl>
    <w:lvl w:ilvl="1" w:tplc="15A4B322" w:tentative="1">
      <w:start w:val="1"/>
      <w:numFmt w:val="bullet"/>
      <w:lvlText w:val="o"/>
      <w:lvlJc w:val="left"/>
      <w:pPr>
        <w:ind w:left="1440" w:hanging="360"/>
      </w:pPr>
      <w:rPr>
        <w:rFonts w:ascii="Courier New" w:hAnsi="Courier New" w:cs="Courier New" w:hint="default"/>
      </w:rPr>
    </w:lvl>
    <w:lvl w:ilvl="2" w:tplc="C936A944" w:tentative="1">
      <w:start w:val="1"/>
      <w:numFmt w:val="bullet"/>
      <w:lvlText w:val=""/>
      <w:lvlJc w:val="left"/>
      <w:pPr>
        <w:ind w:left="2160" w:hanging="360"/>
      </w:pPr>
      <w:rPr>
        <w:rFonts w:ascii="Wingdings" w:hAnsi="Wingdings" w:hint="default"/>
      </w:rPr>
    </w:lvl>
    <w:lvl w:ilvl="3" w:tplc="2944804C" w:tentative="1">
      <w:start w:val="1"/>
      <w:numFmt w:val="bullet"/>
      <w:lvlText w:val=""/>
      <w:lvlJc w:val="left"/>
      <w:pPr>
        <w:ind w:left="2880" w:hanging="360"/>
      </w:pPr>
      <w:rPr>
        <w:rFonts w:ascii="Symbol" w:hAnsi="Symbol" w:hint="default"/>
      </w:rPr>
    </w:lvl>
    <w:lvl w:ilvl="4" w:tplc="51547E98" w:tentative="1">
      <w:start w:val="1"/>
      <w:numFmt w:val="bullet"/>
      <w:lvlText w:val="o"/>
      <w:lvlJc w:val="left"/>
      <w:pPr>
        <w:ind w:left="3600" w:hanging="360"/>
      </w:pPr>
      <w:rPr>
        <w:rFonts w:ascii="Courier New" w:hAnsi="Courier New" w:cs="Courier New" w:hint="default"/>
      </w:rPr>
    </w:lvl>
    <w:lvl w:ilvl="5" w:tplc="02A60066" w:tentative="1">
      <w:start w:val="1"/>
      <w:numFmt w:val="bullet"/>
      <w:lvlText w:val=""/>
      <w:lvlJc w:val="left"/>
      <w:pPr>
        <w:ind w:left="4320" w:hanging="360"/>
      </w:pPr>
      <w:rPr>
        <w:rFonts w:ascii="Wingdings" w:hAnsi="Wingdings" w:hint="default"/>
      </w:rPr>
    </w:lvl>
    <w:lvl w:ilvl="6" w:tplc="A4C22796" w:tentative="1">
      <w:start w:val="1"/>
      <w:numFmt w:val="bullet"/>
      <w:lvlText w:val=""/>
      <w:lvlJc w:val="left"/>
      <w:pPr>
        <w:ind w:left="5040" w:hanging="360"/>
      </w:pPr>
      <w:rPr>
        <w:rFonts w:ascii="Symbol" w:hAnsi="Symbol" w:hint="default"/>
      </w:rPr>
    </w:lvl>
    <w:lvl w:ilvl="7" w:tplc="F8BCF9C0" w:tentative="1">
      <w:start w:val="1"/>
      <w:numFmt w:val="bullet"/>
      <w:lvlText w:val="o"/>
      <w:lvlJc w:val="left"/>
      <w:pPr>
        <w:ind w:left="5760" w:hanging="360"/>
      </w:pPr>
      <w:rPr>
        <w:rFonts w:ascii="Courier New" w:hAnsi="Courier New" w:cs="Courier New" w:hint="default"/>
      </w:rPr>
    </w:lvl>
    <w:lvl w:ilvl="8" w:tplc="D376DE16" w:tentative="1">
      <w:start w:val="1"/>
      <w:numFmt w:val="bullet"/>
      <w:lvlText w:val=""/>
      <w:lvlJc w:val="left"/>
      <w:pPr>
        <w:ind w:left="6480" w:hanging="360"/>
      </w:pPr>
      <w:rPr>
        <w:rFonts w:ascii="Wingdings" w:hAnsi="Wingdings" w:hint="default"/>
      </w:rPr>
    </w:lvl>
  </w:abstractNum>
  <w:abstractNum w:abstractNumId="3" w15:restartNumberingAfterBreak="0">
    <w:nsid w:val="00000003"/>
    <w:multiLevelType w:val="hybridMultilevel"/>
    <w:tmpl w:val="B65C7466"/>
    <w:lvl w:ilvl="0" w:tplc="80D639D2">
      <w:start w:val="1"/>
      <w:numFmt w:val="bullet"/>
      <w:lvlText w:val=""/>
      <w:lvlJc w:val="left"/>
      <w:pPr>
        <w:ind w:left="720" w:hanging="360"/>
      </w:pPr>
      <w:rPr>
        <w:rFonts w:ascii="Symbol" w:hAnsi="Symbol" w:hint="default"/>
      </w:rPr>
    </w:lvl>
    <w:lvl w:ilvl="1" w:tplc="771AC6D2" w:tentative="1">
      <w:start w:val="1"/>
      <w:numFmt w:val="bullet"/>
      <w:lvlText w:val="o"/>
      <w:lvlJc w:val="left"/>
      <w:pPr>
        <w:ind w:left="1440" w:hanging="360"/>
      </w:pPr>
      <w:rPr>
        <w:rFonts w:ascii="Courier New" w:hAnsi="Courier New" w:cs="Courier New" w:hint="default"/>
      </w:rPr>
    </w:lvl>
    <w:lvl w:ilvl="2" w:tplc="07DE2F48" w:tentative="1">
      <w:start w:val="1"/>
      <w:numFmt w:val="bullet"/>
      <w:lvlText w:val=""/>
      <w:lvlJc w:val="left"/>
      <w:pPr>
        <w:ind w:left="2160" w:hanging="360"/>
      </w:pPr>
      <w:rPr>
        <w:rFonts w:ascii="Wingdings" w:hAnsi="Wingdings" w:hint="default"/>
      </w:rPr>
    </w:lvl>
    <w:lvl w:ilvl="3" w:tplc="59243ECA" w:tentative="1">
      <w:start w:val="1"/>
      <w:numFmt w:val="bullet"/>
      <w:lvlText w:val=""/>
      <w:lvlJc w:val="left"/>
      <w:pPr>
        <w:ind w:left="2880" w:hanging="360"/>
      </w:pPr>
      <w:rPr>
        <w:rFonts w:ascii="Symbol" w:hAnsi="Symbol" w:hint="default"/>
      </w:rPr>
    </w:lvl>
    <w:lvl w:ilvl="4" w:tplc="19C26EFC" w:tentative="1">
      <w:start w:val="1"/>
      <w:numFmt w:val="bullet"/>
      <w:lvlText w:val="o"/>
      <w:lvlJc w:val="left"/>
      <w:pPr>
        <w:ind w:left="3600" w:hanging="360"/>
      </w:pPr>
      <w:rPr>
        <w:rFonts w:ascii="Courier New" w:hAnsi="Courier New" w:cs="Courier New" w:hint="default"/>
      </w:rPr>
    </w:lvl>
    <w:lvl w:ilvl="5" w:tplc="2D50B8E4" w:tentative="1">
      <w:start w:val="1"/>
      <w:numFmt w:val="bullet"/>
      <w:lvlText w:val=""/>
      <w:lvlJc w:val="left"/>
      <w:pPr>
        <w:ind w:left="4320" w:hanging="360"/>
      </w:pPr>
      <w:rPr>
        <w:rFonts w:ascii="Wingdings" w:hAnsi="Wingdings" w:hint="default"/>
      </w:rPr>
    </w:lvl>
    <w:lvl w:ilvl="6" w:tplc="9EA0C652" w:tentative="1">
      <w:start w:val="1"/>
      <w:numFmt w:val="bullet"/>
      <w:lvlText w:val=""/>
      <w:lvlJc w:val="left"/>
      <w:pPr>
        <w:ind w:left="5040" w:hanging="360"/>
      </w:pPr>
      <w:rPr>
        <w:rFonts w:ascii="Symbol" w:hAnsi="Symbol" w:hint="default"/>
      </w:rPr>
    </w:lvl>
    <w:lvl w:ilvl="7" w:tplc="BA98DEBA" w:tentative="1">
      <w:start w:val="1"/>
      <w:numFmt w:val="bullet"/>
      <w:lvlText w:val="o"/>
      <w:lvlJc w:val="left"/>
      <w:pPr>
        <w:ind w:left="5760" w:hanging="360"/>
      </w:pPr>
      <w:rPr>
        <w:rFonts w:ascii="Courier New" w:hAnsi="Courier New" w:cs="Courier New" w:hint="default"/>
      </w:rPr>
    </w:lvl>
    <w:lvl w:ilvl="8" w:tplc="2F16EB66"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45C"/>
    <w:rsid w:val="00660661"/>
    <w:rsid w:val="00C84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47E10162-2752-444F-A2B5-2157C9462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1412</Words>
  <Characters>8053</Characters>
  <Application>Microsoft Office Word</Application>
  <DocSecurity>0</DocSecurity>
  <Lines>67</Lines>
  <Paragraphs>18</Paragraphs>
  <ScaleCrop>false</ScaleCrop>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nyoike31@gmail.com</cp:lastModifiedBy>
  <cp:revision>2</cp:revision>
  <dcterms:created xsi:type="dcterms:W3CDTF">2020-11-25T08:43:00Z</dcterms:created>
  <dcterms:modified xsi:type="dcterms:W3CDTF">2020-11-25T08:43:00Z</dcterms:modified>
</cp:coreProperties>
</file>